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1440" w:after="240"/>
        <w:jc w:val="center"/>
      </w:pPr>
      <w:r>
        <w:rPr>
          <w:b/>
          <w:bCs/>
          <w:color w:val="1F4E78"/>
          <w:sz w:val="36"/>
          <w:szCs w:val="36"/>
        </w:rPr>
        <w:t xml:space="preserve">EMAIL &amp; WORKPLACE PRIVACY POLICY</w:t>
      </w:r>
    </w:p>
    <w:p>
      <w:pPr>
        <w:spacing w:after="480"/>
        <w:jc w:val="center"/>
      </w:pPr>
      <w:r>
        <w:rPr>
          <w:color w:val="666666"/>
          <w:sz w:val="24"/>
          <w:szCs w:val="24"/>
        </w:rPr>
        <w:t xml:space="preserve">Template for Indian Organizations</w:t>
      </w:r>
    </w:p>
    <w:p>
      <w:pPr>
        <w:spacing w:after="120"/>
        <w:jc w:val="center"/>
      </w:pPr>
      <w:r>
        <w:rPr>
          <w:b/>
          <w:bCs/>
          <w:sz w:val="20"/>
          <w:szCs w:val="20"/>
        </w:rPr>
        <w:t xml:space="preserve">Compliant with:</w:t>
      </w:r>
    </w:p>
    <w:p>
      <w:pPr>
        <w:pStyle w:val="ListParagraph"/>
        <w:numPr>
          <w:ilvl w:val="0"/>
          <w:numId w:val="2"/>
        </w:numPr>
      </w:pPr>
      <w:r>
        <w:t xml:space="preserve">Digital Personal Data Protection Act, 2023</w:t>
      </w:r>
    </w:p>
    <w:p>
      <w:pPr>
        <w:pStyle w:val="ListParagraph"/>
        <w:numPr>
          <w:ilvl w:val="0"/>
          <w:numId w:val="2"/>
        </w:numPr>
      </w:pPr>
      <w:r>
        <w:t xml:space="preserve">Information Technology Act, 2000</w:t>
      </w:r>
    </w:p>
    <w:p>
      <w:pPr>
        <w:pStyle w:val="ListParagraph"/>
        <w:numPr>
          <w:ilvl w:val="0"/>
          <w:numId w:val="2"/>
        </w:numPr>
      </w:pPr>
      <w:r>
        <w:t xml:space="preserve">IT Rules, 2011</w:t>
      </w:r>
    </w:p>
    <w:p>
      <w:pPr>
        <w:pStyle w:val="ListParagraph"/>
        <w:numPr>
          <w:ilvl w:val="0"/>
          <w:numId w:val="2"/>
        </w:numPr>
      </w:pPr>
      <w:r>
        <w:t xml:space="preserve">Constitutional Right to Privacy (Art. 21)</w:t>
      </w:r>
    </w:p>
    <w:p>
      <w:pPr>
        <w:spacing w:before="480"/>
        <w:jc w:val="center"/>
      </w:pPr>
      <w:r>
        <w:rPr>
          <w:b/>
          <w:bCs/>
          <w:sz w:val="28"/>
          <w:szCs w:val="28"/>
        </w:rPr>
        <w:t xml:space="preserve">
[ORGANIZATION NAME]</w:t>
      </w:r>
    </w:p>
    <w:p>
      <w:pPr>
        <w:spacing w:after="120"/>
        <w:jc w:val="center"/>
      </w:pPr>
      <w:r>
        <w:rPr>
          <w:sz w:val="20"/>
          <w:szCs w:val="20"/>
        </w:rPr>
        <w:t xml:space="preserve">Version: 1.0</w:t>
      </w:r>
    </w:p>
    <w:p>
      <w:pPr>
        <w:spacing w:after="120"/>
        <w:jc w:val="center"/>
      </w:pPr>
      <w:r>
        <w:rPr>
          <w:sz w:val="20"/>
          <w:szCs w:val="20"/>
        </w:rPr>
        <w:t xml:space="preserve">Effective Date: [DATE]</w:t>
      </w:r>
    </w:p>
    <w:p>
      <w:pPr>
        <w:spacing w:after="1440"/>
        <w:jc w:val="center"/>
      </w:pPr>
      <w:r>
        <w:rPr>
          <w:sz w:val="20"/>
          <w:szCs w:val="20"/>
        </w:rPr>
        <w:t xml:space="preserve">Next Review Date: [DATE + 12 MONTHS]</w:t>
      </w:r>
    </w:p>
    <w:p>
      <w:pPr>
        <w:pageBreakBefore/>
      </w:pPr>
    </w:p>
    <w:p>
      <w:pPr>
        <w:pStyle w:val="Heading1"/>
        <w:spacing w:after="240"/>
      </w:pPr>
      <w:r>
        <w:t xml:space="preserve">Table of Contents</w:t>
      </w:r>
    </w:p>
    <w:p>
      <w:pPr>
        <w:spacing w:after="80"/>
      </w:pPr>
      <w:r>
        <w:t xml:space="preserve">1. Introduction and Purpose</w:t>
      </w:r>
    </w:p>
    <w:p>
      <w:pPr>
        <w:spacing w:after="80"/>
      </w:pPr>
      <w:r>
        <w:t xml:space="preserve">2. Scope and Applicability</w:t>
      </w:r>
    </w:p>
    <w:p>
      <w:pPr>
        <w:spacing w:after="80"/>
      </w:pPr>
      <w:r>
        <w:t xml:space="preserve">3. Legal Framework</w:t>
      </w:r>
    </w:p>
    <w:p>
      <w:pPr>
        <w:spacing w:after="80"/>
      </w:pPr>
      <w:r>
        <w:t xml:space="preserve">4. Definitions</w:t>
      </w:r>
    </w:p>
    <w:p>
      <w:pPr>
        <w:spacing w:after="80"/>
      </w:pPr>
      <w:r>
        <w:t xml:space="preserve">5. Email System Ownership</w:t>
      </w:r>
    </w:p>
    <w:p>
      <w:pPr>
        <w:spacing w:after="80"/>
      </w:pPr>
      <w:r>
        <w:t xml:space="preserve">6. Acceptable Use of Email</w:t>
      </w:r>
    </w:p>
    <w:p>
      <w:pPr>
        <w:spacing w:after="80"/>
      </w:pPr>
      <w:r>
        <w:t xml:space="preserve">7. Monitoring and Surveillance</w:t>
      </w:r>
    </w:p>
    <w:p>
      <w:pPr>
        <w:spacing w:after="80"/>
      </w:pPr>
      <w:r>
        <w:t xml:space="preserve">8. Employee Rights</w:t>
      </w:r>
    </w:p>
    <w:p>
      <w:pPr>
        <w:spacing w:after="80"/>
      </w:pPr>
      <w:r>
        <w:t xml:space="preserve">9. Data Collection and Processing</w:t>
      </w:r>
    </w:p>
    <w:p>
      <w:pPr>
        <w:spacing w:after="80"/>
      </w:pPr>
      <w:r>
        <w:t xml:space="preserve">10. Data Security and Retention</w:t>
      </w:r>
    </w:p>
    <w:p>
      <w:pPr>
        <w:spacing w:after="80"/>
      </w:pPr>
      <w:r>
        <w:t xml:space="preserve">11. Third-Party Disclosures</w:t>
      </w:r>
    </w:p>
    <w:p>
      <w:pPr>
        <w:spacing w:after="80"/>
      </w:pPr>
      <w:r>
        <w:t xml:space="preserve">12. Breach Notification</w:t>
      </w:r>
    </w:p>
    <w:p>
      <w:pPr>
        <w:spacing w:after="80"/>
      </w:pPr>
      <w:r>
        <w:t xml:space="preserve">13. Bring Your Own Device (BYOD)</w:t>
      </w:r>
    </w:p>
    <w:p>
      <w:pPr>
        <w:spacing w:after="80"/>
      </w:pPr>
      <w:r>
        <w:t xml:space="preserve">14. Consequences of Violation</w:t>
      </w:r>
    </w:p>
    <w:p>
      <w:pPr>
        <w:spacing w:after="80"/>
      </w:pPr>
      <w:r>
        <w:t xml:space="preserve">15. Grievance Redressal Mechanism</w:t>
      </w:r>
    </w:p>
    <w:p>
      <w:pPr>
        <w:spacing w:after="80"/>
      </w:pPr>
      <w:r>
        <w:t xml:space="preserve">16. Policy Review and Updates</w:t>
      </w:r>
    </w:p>
    <w:p>
      <w:pPr>
        <w:spacing w:after="80"/>
      </w:pPr>
      <w:r>
        <w:t xml:space="preserve">Appendix A: Employee Acknowledgment Form</w:t>
      </w:r>
    </w:p>
    <w:p>
      <w:pPr>
        <w:spacing w:after="80"/>
      </w:pPr>
      <w:r>
        <w:t xml:space="preserve">Appendix B: Data Access Request Form</w:t>
      </w:r>
    </w:p>
    <w:p>
      <w:pPr>
        <w:spacing w:after="80"/>
      </w:pPr>
      <w:r>
        <w:t xml:space="preserve">Appendix C: Privacy Notice Template</w:t>
      </w:r>
    </w:p>
    <w:p>
      <w:pPr>
        <w:pageBreakBefore/>
      </w:pPr>
    </w:p>
    <w:p>
      <w:pPr>
        <w:pStyle w:val="Heading1"/>
      </w:pPr>
      <w:r>
        <w:t xml:space="preserve">1. Introduction and Purpose</w:t>
      </w:r>
    </w:p>
    <w:p>
      <w:pPr>
        <w:spacing w:after="120"/>
      </w:pPr>
      <w:r>
        <w:t xml:space="preserve">This Email and Workplace Privacy Policy ("the Policy") establishes the framework for the collection, use, monitoring, and protection of employee communications and personal data at [ORGANIZATION NAME] ("the Company").</w:t>
      </w:r>
    </w:p>
    <w:p>
      <w:pPr>
        <w:pStyle w:val="Heading2"/>
      </w:pPr>
      <w:r>
        <w:t xml:space="preserve">1.1 Purpose</w:t>
      </w:r>
    </w:p>
    <w:p>
      <w:r>
        <w:t xml:space="preserve">This Policy aims to:</w:t>
      </w:r>
    </w:p>
    <w:p>
      <w:pPr>
        <w:pStyle w:val="ListParagraph"/>
        <w:numPr>
          <w:ilvl w:val="0"/>
          <w:numId w:val="2"/>
        </w:numPr>
      </w:pPr>
      <w:r>
        <w:t xml:space="preserve">Define the rights and responsibilities of the Company and employees regarding email and workplace communications</w:t>
      </w:r>
    </w:p>
    <w:p>
      <w:pPr>
        <w:pStyle w:val="ListParagraph"/>
        <w:numPr>
          <w:ilvl w:val="0"/>
          <w:numId w:val="2"/>
        </w:numPr>
      </w:pPr>
      <w:r>
        <w:t xml:space="preserve">Establish clear guidelines for acceptable use of Company communication systems</w:t>
      </w:r>
    </w:p>
    <w:p>
      <w:pPr>
        <w:pStyle w:val="ListParagraph"/>
        <w:numPr>
          <w:ilvl w:val="0"/>
          <w:numId w:val="2"/>
        </w:numPr>
      </w:pPr>
      <w:r>
        <w:t xml:space="preserve">Outline the scope and limitations of Company monitoring activities</w:t>
      </w:r>
    </w:p>
    <w:p>
      <w:pPr>
        <w:pStyle w:val="ListParagraph"/>
        <w:numPr>
          <w:ilvl w:val="0"/>
          <w:numId w:val="2"/>
        </w:numPr>
      </w:pPr>
      <w:r>
        <w:t xml:space="preserve">Ensure compliance with applicable data protection and privacy laws in India</w:t>
      </w:r>
    </w:p>
    <w:p>
      <w:pPr>
        <w:pStyle w:val="ListParagraph"/>
        <w:numPr>
          <w:ilvl w:val="0"/>
          <w:numId w:val="2"/>
        </w:numPr>
      </w:pPr>
      <w:r>
        <w:t xml:space="preserve">Protect the Company's assets, reputation, and intellectual property</w:t>
      </w:r>
    </w:p>
    <w:p>
      <w:pPr>
        <w:pStyle w:val="ListParagraph"/>
        <w:numPr>
          <w:ilvl w:val="0"/>
          <w:numId w:val="2"/>
        </w:numPr>
        <w:spacing w:after="240"/>
      </w:pPr>
      <w:r>
        <w:t xml:space="preserve">Balance business interests with employee privacy rights</w:t>
      </w:r>
    </w:p>
    <w:p>
      <w:pPr>
        <w:pStyle w:val="Heading1"/>
      </w:pPr>
      <w:r>
        <w:t xml:space="preserve">2. Scope and Applicability</w:t>
      </w:r>
    </w:p>
    <w:p>
      <w:pPr>
        <w:pStyle w:val="Heading2"/>
      </w:pPr>
      <w:r>
        <w:t xml:space="preserve">2.1 Who This Policy Applies To</w:t>
      </w:r>
    </w:p>
    <w:p>
      <w:r>
        <w:t xml:space="preserve">This Policy applies to all:</w:t>
      </w:r>
    </w:p>
    <w:p>
      <w:pPr>
        <w:pStyle w:val="ListParagraph"/>
        <w:numPr>
          <w:ilvl w:val="0"/>
          <w:numId w:val="2"/>
        </w:numPr>
      </w:pPr>
      <w:r>
        <w:t xml:space="preserve">Full-time employees</w:t>
      </w:r>
    </w:p>
    <w:p>
      <w:pPr>
        <w:pStyle w:val="ListParagraph"/>
        <w:numPr>
          <w:ilvl w:val="0"/>
          <w:numId w:val="2"/>
        </w:numPr>
      </w:pPr>
      <w:r>
        <w:t xml:space="preserve">Part-time employees</w:t>
      </w:r>
    </w:p>
    <w:p>
      <w:pPr>
        <w:pStyle w:val="ListParagraph"/>
        <w:numPr>
          <w:ilvl w:val="0"/>
          <w:numId w:val="2"/>
        </w:numPr>
      </w:pPr>
      <w:r>
        <w:t xml:space="preserve">Temporary workers and contractors</w:t>
      </w:r>
    </w:p>
    <w:p>
      <w:pPr>
        <w:pStyle w:val="ListParagraph"/>
        <w:numPr>
          <w:ilvl w:val="0"/>
          <w:numId w:val="2"/>
        </w:numPr>
      </w:pPr>
      <w:r>
        <w:t xml:space="preserve">Interns and trainees</w:t>
      </w:r>
    </w:p>
    <w:p>
      <w:pPr>
        <w:pStyle w:val="ListParagraph"/>
        <w:numPr>
          <w:ilvl w:val="0"/>
          <w:numId w:val="2"/>
        </w:numPr>
        <w:spacing w:after="120"/>
      </w:pPr>
      <w:r>
        <w:t xml:space="preserve">Consultants with access to Company systems</w:t>
      </w:r>
    </w:p>
    <w:p>
      <w:pPr>
        <w:pStyle w:val="Heading2"/>
      </w:pPr>
      <w:r>
        <w:t xml:space="preserve">2.2 What This Policy Covers</w:t>
      </w:r>
    </w:p>
    <w:p>
      <w:pPr>
        <w:pStyle w:val="ListParagraph"/>
        <w:numPr>
          <w:ilvl w:val="0"/>
          <w:numId w:val="2"/>
        </w:numPr>
      </w:pPr>
      <w:r>
        <w:t xml:space="preserve">Company email accounts and services</w:t>
      </w:r>
    </w:p>
    <w:p>
      <w:pPr>
        <w:pStyle w:val="ListParagraph"/>
        <w:numPr>
          <w:ilvl w:val="0"/>
          <w:numId w:val="2"/>
        </w:numPr>
      </w:pPr>
      <w:r>
        <w:t xml:space="preserve">Company-issued devices (laptops, phones, tablets)</w:t>
      </w:r>
    </w:p>
    <w:p>
      <w:pPr>
        <w:pStyle w:val="ListParagraph"/>
        <w:numPr>
          <w:ilvl w:val="0"/>
          <w:numId w:val="2"/>
        </w:numPr>
      </w:pPr>
      <w:r>
        <w:t xml:space="preserve">Company network and internet access</w:t>
      </w:r>
    </w:p>
    <w:p>
      <w:pPr>
        <w:pStyle w:val="ListParagraph"/>
        <w:numPr>
          <w:ilvl w:val="0"/>
          <w:numId w:val="2"/>
        </w:numPr>
      </w:pPr>
      <w:r>
        <w:t xml:space="preserve">Internal communication platforms (Slack, Teams, etc.)</w:t>
      </w:r>
    </w:p>
    <w:p>
      <w:pPr>
        <w:pStyle w:val="ListParagraph"/>
        <w:numPr>
          <w:ilvl w:val="0"/>
          <w:numId w:val="2"/>
        </w:numPr>
      </w:pPr>
      <w:r>
        <w:t xml:space="preserve">Personal devices used for work purposes (BYOD)</w:t>
      </w:r>
    </w:p>
    <w:p>
      <w:pPr>
        <w:pStyle w:val="ListParagraph"/>
        <w:numPr>
          <w:ilvl w:val="0"/>
          <w:numId w:val="2"/>
        </w:numPr>
        <w:spacing w:after="240"/>
      </w:pPr>
      <w:r>
        <w:t xml:space="preserve">Employee personal data collected and processed by the Company</w:t>
      </w:r>
    </w:p>
    <w:p>
      <w:pPr>
        <w:pStyle w:val="Heading1"/>
      </w:pPr>
      <w:r>
        <w:t xml:space="preserve">3. Legal Framework</w:t>
      </w:r>
    </w:p>
    <w:p>
      <w:r>
        <w:t xml:space="preserve">This Policy is based on and complies with:</w:t>
      </w:r>
    </w:p>
    <w:p>
      <w:pPr>
        <w:pStyle w:val="ListParagraph"/>
        <w:numPr>
          <w:ilvl w:val="0"/>
          <w:numId w:val="2"/>
        </w:numPr>
      </w:pPr>
      <w:r>
        <w:rPr>
          <w:b/>
          <w:bCs/>
        </w:rPr>
        <w:t xml:space="preserve">The Constitution of India, Article 21 </w:t>
      </w:r>
      <w:r>
        <w:t xml:space="preserve">(Right to Privacy as recognized in Justice K.S. Puttaswamy v. Union of India, 2017)</w:t>
      </w:r>
    </w:p>
    <w:p>
      <w:pPr>
        <w:pStyle w:val="ListParagraph"/>
        <w:numPr>
          <w:ilvl w:val="0"/>
          <w:numId w:val="2"/>
        </w:numPr>
      </w:pPr>
      <w:r>
        <w:rPr>
          <w:b/>
          <w:bCs/>
        </w:rPr>
        <w:t xml:space="preserve">Digital Personal Data Protection Act, 2023 </w:t>
      </w:r>
      <w:r>
        <w:t xml:space="preserve">(DPDP Act)</w:t>
      </w:r>
    </w:p>
    <w:p>
      <w:pPr>
        <w:pStyle w:val="ListParagraph"/>
        <w:numPr>
          <w:ilvl w:val="0"/>
          <w:numId w:val="2"/>
        </w:numPr>
      </w:pPr>
      <w:r>
        <w:rPr>
          <w:b/>
          <w:bCs/>
        </w:rPr>
        <w:t xml:space="preserve">Information Technology Act, 2000 </w:t>
      </w:r>
      <w:r>
        <w:t xml:space="preserve">(IT Act) and amendments</w:t>
      </w:r>
    </w:p>
    <w:p>
      <w:pPr>
        <w:pStyle w:val="ListParagraph"/>
        <w:numPr>
          <w:ilvl w:val="0"/>
          <w:numId w:val="2"/>
        </w:numPr>
      </w:pPr>
      <w:r>
        <w:rPr>
          <w:b/>
          <w:bCs/>
        </w:rPr>
        <w:t xml:space="preserve">Information Technology (Reasonable Security Practices and Procedures and Sensitive Personal Data or Information) Rules, 2011 </w:t>
      </w:r>
      <w:r>
        <w:t xml:space="preserve">(IT Rules)</w:t>
      </w:r>
    </w:p>
    <w:p>
      <w:pPr>
        <w:pStyle w:val="ListParagraph"/>
        <w:numPr>
          <w:ilvl w:val="0"/>
          <w:numId w:val="2"/>
        </w:numPr>
        <w:spacing w:after="240"/>
      </w:pPr>
      <w:r>
        <w:rPr>
          <w:b/>
          <w:bCs/>
        </w:rPr>
        <w:t xml:space="preserve">Digital Personal Data Protection Rules, 2025 </w:t>
      </w:r>
      <w:r>
        <w:t xml:space="preserve">(DPDP Rules)</w:t>
      </w:r>
    </w:p>
    <w:p>
      <w:pPr>
        <w:pageBreakBefore/>
      </w:pPr>
    </w:p>
    <w:p>
      <w:pPr>
        <w:pStyle w:val="Heading1"/>
      </w:pPr>
      <w:r>
        <w:t xml:space="preserve">4. Definitions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340"/>
        <w:gridCol w:w="7020"/>
      </w:tblGrid>
      <w:tr>
        <w:tc>
          <w:tcPr>
            <w:tcW w:type="dxa" w:w="2340"/>
            <w:tcBorders>
              <w:top w:val="single" w:color="CCCCCC" w:sz="1"/>
              <w:left w:val="single" w:color="CCCCCC" w:sz="1"/>
              <w:bottom w:val="single" w:color="CCCCCC" w:sz="1"/>
              <w:right w:val="single" w:color="CCCCCC" w:sz="1"/>
            </w:tcBorders>
            <w:shd w:fill="1F4E78" w:val="clear"/>
            <w:tcMar>
              <w:top w:type="dxa" w:w="80"/>
              <w:left w:type="dxa" w:w="120"/>
              <w:bottom w:type="dxa" w:w="80"/>
              <w:right w:type="dxa" w:w="120"/>
            </w:tcMar>
          </w:tcPr>
          <w:p>
            <w:r>
              <w:rPr>
                <w:b/>
                <w:bCs/>
                <w:color w:val="FFFFFF"/>
              </w:rPr>
              <w:t xml:space="preserve">Term</w:t>
            </w:r>
          </w:p>
        </w:tc>
        <w:tc>
          <w:tcPr>
            <w:tcW w:type="dxa" w:w="7020"/>
            <w:tcBorders>
              <w:top w:val="single" w:color="CCCCCC" w:sz="1"/>
              <w:left w:val="single" w:color="CCCCCC" w:sz="1"/>
              <w:bottom w:val="single" w:color="CCCCCC" w:sz="1"/>
              <w:right w:val="single" w:color="CCCCCC" w:sz="1"/>
            </w:tcBorders>
            <w:shd w:fill="1F4E78" w:val="clear"/>
            <w:tcMar>
              <w:top w:type="dxa" w:w="80"/>
              <w:left w:type="dxa" w:w="120"/>
              <w:bottom w:type="dxa" w:w="80"/>
              <w:right w:type="dxa" w:w="120"/>
            </w:tcMar>
          </w:tcPr>
          <w:p>
            <w:r>
              <w:rPr>
                <w:b/>
                <w:bCs/>
                <w:color w:val="FFFFFF"/>
              </w:rPr>
              <w:t xml:space="preserve">Definition</w:t>
            </w:r>
          </w:p>
        </w:tc>
      </w:tr>
      <w:tr>
        <w:tc>
          <w:tcPr>
            <w:tcW w:type="dxa" w:w="23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rPr>
              <w:t xml:space="preserve">Company Email</w:t>
            </w:r>
          </w:p>
        </w:tc>
        <w:tc>
          <w:tcPr>
            <w:tcW w:type="dxa" w:w="7020"/>
            <w:tcBorders>
              <w:top w:val="single" w:color="CCCCCC" w:sz="1"/>
              <w:left w:val="single" w:color="CCCCCC" w:sz="1"/>
              <w:bottom w:val="single" w:color="CCCCCC" w:sz="1"/>
              <w:right w:val="single" w:color="CCCCCC" w:sz="1"/>
            </w:tcBorders>
            <w:tcMar>
              <w:top w:type="dxa" w:w="80"/>
              <w:left w:type="dxa" w:w="120"/>
              <w:bottom w:type="dxa" w:w="80"/>
              <w:right w:type="dxa" w:w="120"/>
            </w:tcMar>
          </w:tcPr>
          <w:p>
            <w:r>
              <w:t xml:space="preserve">Email account provided by the Company with domain @[company.com], including all messages sent, received, or stored in such account.</w:t>
            </w:r>
          </w:p>
        </w:tc>
      </w:tr>
      <w:tr>
        <w:tc>
          <w:tcPr>
            <w:tcW w:type="dxa" w:w="234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rPr>
                <w:b/>
                <w:bCs/>
              </w:rPr>
              <w:t xml:space="preserve">Personal Data</w:t>
            </w:r>
          </w:p>
        </w:tc>
        <w:tc>
          <w:tcPr>
            <w:tcW w:type="dxa" w:w="702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t xml:space="preserve">Any data about an individual who is identifiable by or in relation to such data, as defined under DPDP Act.</w:t>
            </w:r>
          </w:p>
        </w:tc>
      </w:tr>
      <w:tr>
        <w:tc>
          <w:tcPr>
            <w:tcW w:type="dxa" w:w="23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rPr>
              <w:t xml:space="preserve">SPDI</w:t>
            </w:r>
          </w:p>
        </w:tc>
        <w:tc>
          <w:tcPr>
            <w:tcW w:type="dxa" w:w="7020"/>
            <w:tcBorders>
              <w:top w:val="single" w:color="CCCCCC" w:sz="1"/>
              <w:left w:val="single" w:color="CCCCCC" w:sz="1"/>
              <w:bottom w:val="single" w:color="CCCCCC" w:sz="1"/>
              <w:right w:val="single" w:color="CCCCCC" w:sz="1"/>
            </w:tcBorders>
            <w:tcMar>
              <w:top w:type="dxa" w:w="80"/>
              <w:left w:type="dxa" w:w="120"/>
              <w:bottom w:type="dxa" w:w="80"/>
              <w:right w:type="dxa" w:w="120"/>
            </w:tcMar>
          </w:tcPr>
          <w:p>
            <w:r>
              <w:t xml:space="preserve">Sensitive Personal Data or Information including passwords, financial information, health records, sexual orientation, biometric data, medical history as defined in IT Rules, 2011.</w:t>
            </w:r>
          </w:p>
        </w:tc>
      </w:tr>
      <w:tr>
        <w:tc>
          <w:tcPr>
            <w:tcW w:type="dxa" w:w="234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rPr>
                <w:b/>
                <w:bCs/>
              </w:rPr>
              <w:t xml:space="preserve">Data Fiduciary</w:t>
            </w:r>
          </w:p>
        </w:tc>
        <w:tc>
          <w:tcPr>
            <w:tcW w:type="dxa" w:w="702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t xml:space="preserve">The Company, which determines the purpose and means of processing personal data (DPDP Act definition).</w:t>
            </w:r>
          </w:p>
        </w:tc>
      </w:tr>
      <w:tr>
        <w:tc>
          <w:tcPr>
            <w:tcW w:type="dxa" w:w="23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rPr>
              <w:t xml:space="preserve">Data Principal</w:t>
            </w:r>
          </w:p>
        </w:tc>
        <w:tc>
          <w:tcPr>
            <w:tcW w:type="dxa" w:w="7020"/>
            <w:tcBorders>
              <w:top w:val="single" w:color="CCCCCC" w:sz="1"/>
              <w:left w:val="single" w:color="CCCCCC" w:sz="1"/>
              <w:bottom w:val="single" w:color="CCCCCC" w:sz="1"/>
              <w:right w:val="single" w:color="CCCCCC" w:sz="1"/>
            </w:tcBorders>
            <w:tcMar>
              <w:top w:type="dxa" w:w="80"/>
              <w:left w:type="dxa" w:w="120"/>
              <w:bottom w:type="dxa" w:w="80"/>
              <w:right w:type="dxa" w:w="120"/>
            </w:tcMar>
          </w:tcPr>
          <w:p>
            <w:r>
              <w:t xml:space="preserve">The individual to whom the personal data relates (i.e., the employee).</w:t>
            </w:r>
          </w:p>
        </w:tc>
      </w:tr>
      <w:tr>
        <w:tc>
          <w:tcPr>
            <w:tcW w:type="dxa" w:w="234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rPr>
                <w:b/>
                <w:bCs/>
              </w:rPr>
              <w:t xml:space="preserve">BYOD</w:t>
            </w:r>
          </w:p>
        </w:tc>
        <w:tc>
          <w:tcPr>
            <w:tcW w:type="dxa" w:w="702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t xml:space="preserve">Bring Your Own Device - personal devices used to access Company systems or data.</w:t>
            </w:r>
          </w:p>
        </w:tc>
      </w:tr>
      <w:tr>
        <w:tc>
          <w:tcPr>
            <w:tcW w:type="dxa" w:w="23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rPr>
              <w:t xml:space="preserve">Monitoring</w:t>
            </w:r>
          </w:p>
        </w:tc>
        <w:tc>
          <w:tcPr>
            <w:tcW w:type="dxa" w:w="7020"/>
            <w:tcBorders>
              <w:top w:val="single" w:color="CCCCCC" w:sz="1"/>
              <w:left w:val="single" w:color="CCCCCC" w:sz="1"/>
              <w:bottom w:val="single" w:color="CCCCCC" w:sz="1"/>
              <w:right w:val="single" w:color="CCCCCC" w:sz="1"/>
            </w:tcBorders>
            <w:tcMar>
              <w:top w:type="dxa" w:w="80"/>
              <w:left w:type="dxa" w:w="120"/>
              <w:bottom w:type="dxa" w:w="80"/>
              <w:right w:type="dxa" w:w="120"/>
            </w:tcMar>
          </w:tcPr>
          <w:p>
            <w:r>
              <w:t xml:space="preserve">Reviewing, accessing, tracking, or recording employee communications and activities on Company systems.</w:t>
            </w:r>
          </w:p>
        </w:tc>
      </w:tr>
    </w:tbl>
    <w:p>
      <w:pPr>
        <w:spacing w:after="240"/>
      </w:pPr>
    </w:p>
    <w:p>
      <w:pPr>
        <w:pStyle w:val="Heading1"/>
      </w:pPr>
      <w:r>
        <w:t xml:space="preserve">5. Email System Ownership</w:t>
      </w:r>
    </w:p>
    <w:p>
      <w:pPr>
        <w:pStyle w:val="Heading2"/>
      </w:pPr>
      <w:r>
        <w:t xml:space="preserve">5.1 Company Property</w:t>
      </w:r>
    </w:p>
    <w:p>
      <w:r>
        <w:rPr>
          <w:b/>
          <w:bCs/>
          <w:color w:val="C00000"/>
        </w:rPr>
        <w:t xml:space="preserve">IMPORTANT: </w:t>
      </w:r>
      <w:r>
        <w:t xml:space="preserve">All Company email accounts, including all content sent, received, or stored in such accounts, are the sole property of [ORGANIZATION NAME].</w:t>
      </w:r>
    </w:p>
    <w:p>
      <w:r>
        <w:t xml:space="preserve">The Company retains all ownership rights to:</w:t>
      </w:r>
    </w:p>
    <w:p>
      <w:pPr>
        <w:pStyle w:val="ListParagraph"/>
        <w:numPr>
          <w:ilvl w:val="0"/>
          <w:numId w:val="2"/>
        </w:numPr>
      </w:pPr>
      <w:r>
        <w:t xml:space="preserve">Email infrastructure and systems</w:t>
      </w:r>
    </w:p>
    <w:p>
      <w:pPr>
        <w:pStyle w:val="ListParagraph"/>
        <w:numPr>
          <w:ilvl w:val="0"/>
          <w:numId w:val="2"/>
        </w:numPr>
      </w:pPr>
      <w:r>
        <w:t xml:space="preserve">Email accounts and addresses</w:t>
      </w:r>
    </w:p>
    <w:p>
      <w:pPr>
        <w:pStyle w:val="ListParagraph"/>
        <w:numPr>
          <w:ilvl w:val="0"/>
          <w:numId w:val="2"/>
        </w:numPr>
      </w:pPr>
      <w:r>
        <w:t xml:space="preserve">All messages and attachments</w:t>
      </w:r>
    </w:p>
    <w:p>
      <w:pPr>
        <w:pStyle w:val="ListParagraph"/>
        <w:numPr>
          <w:ilvl w:val="0"/>
          <w:numId w:val="2"/>
        </w:numPr>
        <w:spacing w:after="120"/>
      </w:pPr>
      <w:r>
        <w:t xml:space="preserve">Email metadata (sender, recipient, timestamps, etc.)</w:t>
      </w:r>
    </w:p>
    <w:p>
      <w:pPr>
        <w:pStyle w:val="Heading2"/>
      </w:pPr>
      <w:r>
        <w:t xml:space="preserve">5.2 No Expectation of Privacy in Company Email</w:t>
      </w:r>
    </w:p>
    <w:p>
      <w:pPr>
        <w:spacing w:after="240"/>
      </w:pPr>
      <w:r>
        <w:t xml:space="preserve">Employees should have NO expectation of privacy in communications sent, received, or stored on Company email systems. The Company reserves the right to access, monitor, and review such communications in accordance with this Policy and applicable law.</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FFC000" w:sz="6"/>
              <w:left w:val="single" w:color="FFC000" w:sz="6"/>
              <w:bottom w:val="single" w:color="FFC000" w:sz="6"/>
              <w:right w:val="single" w:color="FFC000" w:sz="6"/>
            </w:tcBorders>
            <w:shd w:fill="FFF9E5" w:val="clear"/>
            <w:tcMar>
              <w:top w:type="dxa" w:w="160"/>
              <w:left w:type="dxa" w:w="240"/>
              <w:bottom w:type="dxa" w:w="160"/>
              <w:right w:type="dxa" w:w="240"/>
            </w:tcMar>
          </w:tcPr>
          <w:p>
            <w:pPr>
              <w:spacing w:after="80"/>
            </w:pPr>
            <w:r>
              <w:rPr>
                <w:b/>
                <w:bCs/>
                <w:sz w:val="24"/>
                <w:szCs w:val="24"/>
              </w:rPr>
              <w:t xml:space="preserve">⚠️ EMPLOYEE NOTE:</w:t>
            </w:r>
          </w:p>
          <w:p>
            <w:r>
              <w:t xml:space="preserve">While the Company respects your privacy, work email is for business purposes. Personal email accounts (Gmail, Yahoo, etc.) accessed on personal devices remain private and are not monitored by the Company.</w:t>
            </w:r>
          </w:p>
        </w:tc>
      </w:tr>
    </w:tbl>
    <w:p>
      <w:pPr>
        <w:spacing w:after="480"/>
      </w:pPr>
    </w:p>
    <w:p>
      <w:pPr>
        <w:pStyle w:val="Heading1"/>
      </w:pPr>
      <w:r>
        <w:t xml:space="preserve">6. Acceptable Use of Email</w:t>
      </w:r>
    </w:p>
    <w:p>
      <w:r>
        <w:t xml:space="preserve">Company email must be used primarily for business purposes. Limited personal use is permitted but should not:</w:t>
      </w:r>
    </w:p>
    <w:p>
      <w:pPr>
        <w:pStyle w:val="ListParagraph"/>
        <w:numPr>
          <w:ilvl w:val="0"/>
          <w:numId w:val="2"/>
        </w:numPr>
      </w:pPr>
      <w:r>
        <w:t xml:space="preserve">Interfere with work responsibilities</w:t>
      </w:r>
    </w:p>
    <w:p>
      <w:pPr>
        <w:pStyle w:val="ListParagraph"/>
        <w:numPr>
          <w:ilvl w:val="0"/>
          <w:numId w:val="2"/>
        </w:numPr>
      </w:pPr>
      <w:r>
        <w:t xml:space="preserve">Consume excessive system resources</w:t>
      </w:r>
    </w:p>
    <w:p>
      <w:pPr>
        <w:pStyle w:val="ListParagraph"/>
        <w:numPr>
          <w:ilvl w:val="0"/>
          <w:numId w:val="2"/>
        </w:numPr>
        <w:spacing w:after="240"/>
      </w:pPr>
      <w:r>
        <w:t xml:space="preserve">Violate any law or Company policy</w:t>
      </w:r>
    </w:p>
    <w:p>
      <w:pPr>
        <w:pStyle w:val="Heading2"/>
      </w:pPr>
      <w:r>
        <w:t xml:space="preserve">6.1 Prohibited Uses</w:t>
      </w:r>
    </w:p>
    <w:p>
      <w:r>
        <w:t xml:space="preserve">The following uses are strictly prohibited:</w:t>
      </w:r>
    </w:p>
    <w:p>
      <w:pPr>
        <w:pStyle w:val="ListParagraph"/>
        <w:numPr>
          <w:ilvl w:val="0"/>
          <w:numId w:val="2"/>
        </w:numPr>
      </w:pPr>
      <w:r>
        <w:t xml:space="preserve">Sending confidential Company information to personal accounts</w:t>
      </w:r>
    </w:p>
    <w:p>
      <w:pPr>
        <w:pStyle w:val="ListParagraph"/>
        <w:numPr>
          <w:ilvl w:val="0"/>
          <w:numId w:val="2"/>
        </w:numPr>
      </w:pPr>
      <w:r>
        <w:t xml:space="preserve">Harassment, discrimination, or offensive communications</w:t>
      </w:r>
    </w:p>
    <w:p>
      <w:pPr>
        <w:pStyle w:val="ListParagraph"/>
        <w:numPr>
          <w:ilvl w:val="0"/>
          <w:numId w:val="2"/>
        </w:numPr>
      </w:pPr>
      <w:r>
        <w:t xml:space="preserve">Spam or unauthorized mass mailings</w:t>
      </w:r>
    </w:p>
    <w:p>
      <w:pPr>
        <w:pStyle w:val="ListParagraph"/>
        <w:numPr>
          <w:ilvl w:val="0"/>
          <w:numId w:val="2"/>
        </w:numPr>
      </w:pPr>
      <w:r>
        <w:t xml:space="preserve">Phishing or fraudulent communications</w:t>
      </w:r>
    </w:p>
    <w:p>
      <w:pPr>
        <w:pStyle w:val="ListParagraph"/>
        <w:numPr>
          <w:ilvl w:val="0"/>
          <w:numId w:val="2"/>
        </w:numPr>
      </w:pPr>
      <w:r>
        <w:t xml:space="preserve">Copyright or intellectual property violations</w:t>
      </w:r>
    </w:p>
    <w:p>
      <w:pPr>
        <w:pStyle w:val="ListParagraph"/>
        <w:numPr>
          <w:ilvl w:val="0"/>
          <w:numId w:val="2"/>
        </w:numPr>
        <w:spacing w:after="480"/>
      </w:pPr>
      <w:r>
        <w:t xml:space="preserve">Malware, viruses, or security threats</w:t>
      </w:r>
    </w:p>
    <w:p>
      <w:pPr>
        <w:pageBreakBefore/>
      </w:pPr>
    </w:p>
    <w:p>
      <w:pPr>
        <w:pStyle w:val="Heading1"/>
      </w:pPr>
      <w:r>
        <w:t xml:space="preserve">7. Monitoring and Surveillance</w:t>
      </w:r>
    </w:p>
    <w:p>
      <w:pPr>
        <w:pStyle w:val="Heading2"/>
      </w:pPr>
      <w:r>
        <w:t xml:space="preserve">7.1 Scope of Monitoring</w:t>
      </w:r>
    </w:p>
    <w:p>
      <w:r>
        <w:t xml:space="preserve">The Company may monitor the following, in accordance with the principles of legality, legitimacy, and proportionality:</w:t>
      </w:r>
    </w:p>
    <w:p>
      <w:pPr>
        <w:pStyle w:val="ListParagraph"/>
        <w:numPr>
          <w:ilvl w:val="0"/>
          <w:numId w:val="2"/>
        </w:numPr>
      </w:pPr>
      <w:r>
        <w:rPr>
          <w:b/>
          <w:bCs/>
        </w:rPr>
        <w:t xml:space="preserve">Email content </w:t>
      </w:r>
      <w:r>
        <w:t xml:space="preserve">(subject, body, attachments)</w:t>
      </w:r>
    </w:p>
    <w:p>
      <w:pPr>
        <w:pStyle w:val="ListParagraph"/>
        <w:numPr>
          <w:ilvl w:val="0"/>
          <w:numId w:val="2"/>
        </w:numPr>
      </w:pPr>
      <w:r>
        <w:rPr>
          <w:b/>
          <w:bCs/>
        </w:rPr>
        <w:t xml:space="preserve">Email metadata </w:t>
      </w:r>
      <w:r>
        <w:t xml:space="preserve">(sender, recipients, dates, times)</w:t>
      </w:r>
    </w:p>
    <w:p>
      <w:pPr>
        <w:pStyle w:val="ListParagraph"/>
        <w:numPr>
          <w:ilvl w:val="0"/>
          <w:numId w:val="2"/>
        </w:numPr>
      </w:pPr>
      <w:r>
        <w:rPr>
          <w:b/>
          <w:bCs/>
        </w:rPr>
        <w:t xml:space="preserve">Internet usage </w:t>
      </w:r>
      <w:r>
        <w:t xml:space="preserve">(websites visited, bandwidth usage)</w:t>
      </w:r>
    </w:p>
    <w:p>
      <w:pPr>
        <w:pStyle w:val="ListParagraph"/>
        <w:numPr>
          <w:ilvl w:val="0"/>
          <w:numId w:val="2"/>
        </w:numPr>
      </w:pPr>
      <w:r>
        <w:rPr>
          <w:b/>
          <w:bCs/>
        </w:rPr>
        <w:t xml:space="preserve">System access logs </w:t>
      </w:r>
      <w:r>
        <w:t xml:space="preserve">(login times, file access)</w:t>
      </w:r>
    </w:p>
    <w:p>
      <w:pPr>
        <w:pStyle w:val="ListParagraph"/>
        <w:numPr>
          <w:ilvl w:val="0"/>
          <w:numId w:val="2"/>
        </w:numPr>
        <w:spacing w:after="240"/>
      </w:pPr>
      <w:r>
        <w:rPr>
          <w:b/>
          <w:bCs/>
        </w:rPr>
        <w:t xml:space="preserve">Device activity </w:t>
      </w:r>
      <w:r>
        <w:t xml:space="preserve">(on Company-issued devices only)</w:t>
      </w:r>
    </w:p>
    <w:p>
      <w:pPr>
        <w:pStyle w:val="Heading2"/>
      </w:pPr>
      <w:r>
        <w:t xml:space="preserve">7.2 Purpose of Monitoring</w:t>
      </w:r>
    </w:p>
    <w:p>
      <w:r>
        <w:t xml:space="preserve">Monitoring is conducted only for legitimate business purposes:</w:t>
      </w:r>
    </w:p>
    <w:p>
      <w:pPr>
        <w:pStyle w:val="ListParagraph"/>
        <w:numPr>
          <w:ilvl w:val="0"/>
          <w:numId w:val="2"/>
        </w:numPr>
      </w:pPr>
      <w:r>
        <w:t xml:space="preserve">Ensuring compliance with laws and regulations</w:t>
      </w:r>
    </w:p>
    <w:p>
      <w:pPr>
        <w:pStyle w:val="ListParagraph"/>
        <w:numPr>
          <w:ilvl w:val="0"/>
          <w:numId w:val="2"/>
        </w:numPr>
      </w:pPr>
      <w:r>
        <w:t xml:space="preserve">Protecting Company assets and intellectual property</w:t>
      </w:r>
    </w:p>
    <w:p>
      <w:pPr>
        <w:pStyle w:val="ListParagraph"/>
        <w:numPr>
          <w:ilvl w:val="0"/>
          <w:numId w:val="2"/>
        </w:numPr>
      </w:pPr>
      <w:r>
        <w:t xml:space="preserve">Preventing and investigating misconduct</w:t>
      </w:r>
    </w:p>
    <w:p>
      <w:pPr>
        <w:pStyle w:val="ListParagraph"/>
        <w:numPr>
          <w:ilvl w:val="0"/>
          <w:numId w:val="2"/>
        </w:numPr>
      </w:pPr>
      <w:r>
        <w:t xml:space="preserve">Maintaining network security</w:t>
      </w:r>
    </w:p>
    <w:p>
      <w:pPr>
        <w:pStyle w:val="ListParagraph"/>
        <w:numPr>
          <w:ilvl w:val="0"/>
          <w:numId w:val="2"/>
        </w:numPr>
        <w:spacing w:after="240"/>
      </w:pPr>
      <w:r>
        <w:t xml:space="preserve">Investigating data breaches or security incidents</w:t>
      </w:r>
    </w:p>
    <w:p>
      <w:pPr>
        <w:pStyle w:val="Heading2"/>
      </w:pPr>
      <w:r>
        <w:t xml:space="preserve">7.3 Limits on Monitoring</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5B6" w:sz="6"/>
              <w:left w:val="single" w:color="2E75B6" w:sz="6"/>
              <w:bottom w:val="single" w:color="2E75B6" w:sz="6"/>
              <w:right w:val="single" w:color="2E75B6" w:sz="6"/>
            </w:tcBorders>
            <w:shd w:fill="E7F3FB" w:val="clear"/>
            <w:tcMar>
              <w:top w:type="dxa" w:w="160"/>
              <w:left w:type="dxa" w:w="240"/>
              <w:bottom w:type="dxa" w:w="160"/>
              <w:right w:type="dxa" w:w="240"/>
            </w:tcMar>
          </w:tcPr>
          <w:p>
            <w:pPr>
              <w:spacing w:after="80"/>
            </w:pPr>
            <w:r>
              <w:rPr>
                <w:b/>
                <w:bCs/>
                <w:sz w:val="24"/>
                <w:szCs w:val="24"/>
              </w:rPr>
              <w:t xml:space="preserve">PROPORTIONALITY PRINCIPLE</w:t>
            </w:r>
          </w:p>
          <w:p>
            <w:r>
              <w:t xml:space="preserve">The Company commits to monitoring only what is necessary, for legitimate purposes, and in a manner proportionate to the business need. Monitoring will be limited to work-related activities and will not extend to personal communications on personal devices.</w:t>
            </w:r>
          </w:p>
        </w:tc>
      </w:tr>
    </w:tbl>
    <w:p>
      <w:pPr>
        <w:spacing w:after="480"/>
      </w:pPr>
    </w:p>
    <w:p>
      <w:pPr>
        <w:pStyle w:val="Heading1"/>
      </w:pPr>
      <w:r>
        <w:t xml:space="preserve">8. Employee Rights</w:t>
      </w:r>
    </w:p>
    <w:p>
      <w:r>
        <w:t xml:space="preserve">Under the DPDP Act and applicable laws, employees have the following rights:</w:t>
      </w:r>
    </w:p>
    <w:p>
      <w:pPr>
        <w:pStyle w:val="ListParagraph"/>
        <w:numPr>
          <w:ilvl w:val="0"/>
          <w:numId w:val="3"/>
        </w:numPr>
      </w:pPr>
      <w:r>
        <w:rPr>
          <w:b/>
          <w:bCs/>
        </w:rPr>
        <w:t xml:space="preserve">Right to Information: </w:t>
      </w:r>
      <w:r>
        <w:t xml:space="preserve">Request details about personal data held by the Company</w:t>
      </w:r>
    </w:p>
    <w:p>
      <w:pPr>
        <w:pStyle w:val="ListParagraph"/>
        <w:numPr>
          <w:ilvl w:val="0"/>
          <w:numId w:val="3"/>
        </w:numPr>
      </w:pPr>
      <w:r>
        <w:rPr>
          <w:b/>
          <w:bCs/>
        </w:rPr>
        <w:t xml:space="preserve">Right to Access: </w:t>
      </w:r>
      <w:r>
        <w:t xml:space="preserve">Obtain a copy of your personal data</w:t>
      </w:r>
    </w:p>
    <w:p>
      <w:pPr>
        <w:pStyle w:val="ListParagraph"/>
        <w:numPr>
          <w:ilvl w:val="0"/>
          <w:numId w:val="3"/>
        </w:numPr>
      </w:pPr>
      <w:r>
        <w:rPr>
          <w:b/>
          <w:bCs/>
        </w:rPr>
        <w:t xml:space="preserve">Right to Correction: </w:t>
      </w:r>
      <w:r>
        <w:t xml:space="preserve">Request correction of inaccurate data</w:t>
      </w:r>
    </w:p>
    <w:p>
      <w:pPr>
        <w:pStyle w:val="ListParagraph"/>
        <w:numPr>
          <w:ilvl w:val="0"/>
          <w:numId w:val="3"/>
        </w:numPr>
      </w:pPr>
      <w:r>
        <w:rPr>
          <w:b/>
          <w:bCs/>
        </w:rPr>
        <w:t xml:space="preserve">Right to Erasure: </w:t>
      </w:r>
      <w:r>
        <w:t xml:space="preserve">Request deletion of data when purpose is fulfilled</w:t>
      </w:r>
    </w:p>
    <w:p>
      <w:pPr>
        <w:pStyle w:val="ListParagraph"/>
        <w:numPr>
          <w:ilvl w:val="0"/>
          <w:numId w:val="3"/>
        </w:numPr>
      </w:pPr>
      <w:r>
        <w:rPr>
          <w:b/>
          <w:bCs/>
        </w:rPr>
        <w:t xml:space="preserve">Right to Withdraw Consent: </w:t>
      </w:r>
      <w:r>
        <w:t xml:space="preserve">Withdraw consent for data processing (where applicable)</w:t>
      </w:r>
    </w:p>
    <w:p>
      <w:pPr>
        <w:pStyle w:val="ListParagraph"/>
        <w:numPr>
          <w:ilvl w:val="0"/>
          <w:numId w:val="3"/>
        </w:numPr>
        <w:spacing w:after="240"/>
      </w:pPr>
      <w:r>
        <w:rPr>
          <w:b/>
          <w:bCs/>
        </w:rPr>
        <w:t xml:space="preserve">Right to Grievance Redressal: </w:t>
      </w:r>
      <w:r>
        <w:t xml:space="preserve">File complaints with the Company or Data Protection Board</w:t>
      </w:r>
    </w:p>
    <w:p>
      <w:pPr>
        <w:spacing w:after="480"/>
      </w:pPr>
      <w:r>
        <w:rPr>
          <w:b/>
          <w:bCs/>
        </w:rPr>
        <w:t xml:space="preserve">To exercise these rights, contact: </w:t>
      </w:r>
      <w:r>
        <w:t xml:space="preserve">[DATA PROTECTION OFFICER EMAIL/CONTACT]</w:t>
      </w:r>
    </w:p>
    <w:p>
      <w:pPr>
        <w:pStyle w:val="Heading1"/>
      </w:pPr>
      <w:r>
        <w:t xml:space="preserve">9. Data Collection and Processing</w:t>
      </w:r>
    </w:p>
    <w:p>
      <w:r>
        <w:t xml:space="preserve">The Company processes employee personal data based on legitimate uses under DPDP Act Section 7, including:</w:t>
      </w:r>
    </w:p>
    <w:p>
      <w:pPr>
        <w:pStyle w:val="ListParagraph"/>
        <w:numPr>
          <w:ilvl w:val="0"/>
          <w:numId w:val="2"/>
        </w:numPr>
      </w:pPr>
      <w:r>
        <w:t xml:space="preserve">Purposes of employment (payroll, performance management)</w:t>
      </w:r>
    </w:p>
    <w:p>
      <w:pPr>
        <w:pStyle w:val="ListParagraph"/>
        <w:numPr>
          <w:ilvl w:val="0"/>
          <w:numId w:val="2"/>
        </w:numPr>
      </w:pPr>
      <w:r>
        <w:t xml:space="preserve">Prevention of corporate espionage</w:t>
      </w:r>
    </w:p>
    <w:p>
      <w:pPr>
        <w:pStyle w:val="ListParagraph"/>
        <w:numPr>
          <w:ilvl w:val="0"/>
          <w:numId w:val="2"/>
        </w:numPr>
      </w:pPr>
      <w:r>
        <w:t xml:space="preserve">Maintenance of confidentiality of trade secrets and IP</w:t>
      </w:r>
    </w:p>
    <w:p>
      <w:pPr>
        <w:pStyle w:val="ListParagraph"/>
        <w:numPr>
          <w:ilvl w:val="0"/>
          <w:numId w:val="2"/>
        </w:numPr>
        <w:spacing w:after="240"/>
      </w:pPr>
      <w:r>
        <w:t xml:space="preserve">Compliance with legal obligations</w:t>
      </w:r>
    </w:p>
    <w:p>
      <w:pPr>
        <w:spacing w:after="480"/>
      </w:pPr>
      <w:r>
        <w:rPr>
          <w:i/>
          <w:iCs/>
        </w:rPr>
        <w:t xml:space="preserve">For processing beyond these legitimate uses, explicit consent will be obtained.</w:t>
      </w:r>
    </w:p>
    <w:p>
      <w:pPr>
        <w:pStyle w:val="Heading1"/>
      </w:pPr>
      <w:r>
        <w:t xml:space="preserve">10. Data Security and Retention</w:t>
      </w:r>
    </w:p>
    <w:p>
      <w:r>
        <w:t xml:space="preserve">The Company implements ISO 27001-compliant security measures including encryption, access controls, and regular audits.</w:t>
      </w:r>
    </w:p>
    <w:p>
      <w:pPr>
        <w:spacing w:after="480"/>
      </w:pPr>
      <w:r>
        <w:rPr>
          <w:b/>
          <w:bCs/>
        </w:rPr>
        <w:t xml:space="preserve">Retention Period: </w:t>
      </w:r>
      <w:r>
        <w:t xml:space="preserve">Employee data will be retained for the duration of employment plus [SPECIFY PERIOD, e.g., 7 years] for legal compliance, after which it will be securely erased within 1 year as per DPDP Act requirements.</w:t>
      </w:r>
    </w:p>
    <w:p>
      <w:pPr>
        <w:pageBreakBefore/>
      </w:pPr>
    </w:p>
    <w:p>
      <w:pPr>
        <w:pStyle w:val="Heading1"/>
      </w:pPr>
      <w:r>
        <w:t xml:space="preserve">15. Grievance Redressal Mechanism</w:t>
      </w:r>
    </w:p>
    <w:p>
      <w:r>
        <w:t xml:space="preserve">Any concerns or complaints regarding email privacy or data processing should be directed to:</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6240"/>
      </w:tblGrid>
      <w:tr>
        <w:tc>
          <w:tcPr>
            <w:tcW w:type="dxa" w:w="31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rPr>
              <w:t xml:space="preserve">Data Protection Officer:</w:t>
            </w:r>
          </w:p>
        </w:tc>
        <w:tc>
          <w:tcPr>
            <w:tcW w:type="dxa" w:w="6240"/>
            <w:tcBorders>
              <w:top w:val="single" w:color="CCCCCC" w:sz="1"/>
              <w:left w:val="single" w:color="CCCCCC" w:sz="1"/>
              <w:bottom w:val="single" w:color="CCCCCC" w:sz="1"/>
              <w:right w:val="single" w:color="CCCCCC" w:sz="1"/>
            </w:tcBorders>
            <w:tcMar>
              <w:top w:type="dxa" w:w="80"/>
              <w:left w:type="dxa" w:w="120"/>
              <w:bottom w:type="dxa" w:w="80"/>
              <w:right w:type="dxa" w:w="120"/>
            </w:tcMar>
          </w:tcPr>
          <w:p>
            <w:r>
              <w:t xml:space="preserve">[Name]
[Email]
[Phone]</w:t>
            </w:r>
          </w:p>
        </w:tc>
      </w:tr>
      <w:tr>
        <w:tc>
          <w:tcPr>
            <w:tcW w:type="dxa" w:w="312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rPr>
                <w:b/>
                <w:bCs/>
              </w:rPr>
              <w:t xml:space="preserve">HR Department:</w:t>
            </w:r>
          </w:p>
        </w:tc>
        <w:tc>
          <w:tcPr>
            <w:tcW w:type="dxa" w:w="624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t xml:space="preserve">[Email]
[Phone]</w:t>
            </w:r>
          </w:p>
        </w:tc>
      </w:tr>
      <w:tr>
        <w:tc>
          <w:tcPr>
            <w:tcW w:type="dxa" w:w="31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rPr>
              <w:t xml:space="preserve">Response Time:</w:t>
            </w:r>
          </w:p>
        </w:tc>
        <w:tc>
          <w:tcPr>
            <w:tcW w:type="dxa" w:w="6240"/>
            <w:tcBorders>
              <w:top w:val="single" w:color="CCCCCC" w:sz="1"/>
              <w:left w:val="single" w:color="CCCCCC" w:sz="1"/>
              <w:bottom w:val="single" w:color="CCCCCC" w:sz="1"/>
              <w:right w:val="single" w:color="CCCCCC" w:sz="1"/>
            </w:tcBorders>
            <w:tcMar>
              <w:top w:type="dxa" w:w="80"/>
              <w:left w:type="dxa" w:w="120"/>
              <w:bottom w:type="dxa" w:w="80"/>
              <w:right w:type="dxa" w:w="120"/>
            </w:tcMar>
          </w:tcPr>
          <w:p>
            <w:r>
              <w:t xml:space="preserve">Within [10 business days]</w:t>
            </w:r>
          </w:p>
        </w:tc>
      </w:tr>
    </w:tbl>
    <w:p>
      <w:pPr>
        <w:spacing w:after="240"/>
      </w:pPr>
    </w:p>
    <w:p>
      <w:pPr>
        <w:spacing w:after="480"/>
      </w:pPr>
      <w:r>
        <w:rPr>
          <w:b/>
          <w:bCs/>
        </w:rPr>
        <w:t xml:space="preserve">External Escalation: </w:t>
      </w:r>
      <w:r>
        <w:t xml:space="preserve">If not satisfied with the Company's response, employees may file a complaint with the Data Protection Board of India.</w:t>
      </w:r>
    </w:p>
    <w:p>
      <w:pPr>
        <w:pageBreakBefore/>
      </w:pPr>
    </w:p>
    <w:p>
      <w:pPr>
        <w:pStyle w:val="Heading1"/>
      </w:pPr>
      <w:r>
        <w:t xml:space="preserve">Appendix A: Employee Acknowledgment Form</w:t>
      </w:r>
    </w:p>
    <w:p>
      <w:pPr>
        <w:spacing w:before="240" w:after="120"/>
      </w:pPr>
      <w:r>
        <w:rPr>
          <w:i/>
          <w:iCs/>
        </w:rPr>
        <w:t xml:space="preserve">I, </w:t>
      </w:r>
      <w:r>
        <w:t xml:space="preserve">________________________________________</w:t>
      </w:r>
      <w:r>
        <w:rPr>
          <w:i/>
          <w:iCs/>
        </w:rPr>
        <w:t xml:space="preserve"> (Employee Name), hereby acknowledge that:</w:t>
      </w:r>
    </w:p>
    <w:p>
      <w:pPr>
        <w:pStyle w:val="ListParagraph"/>
        <w:numPr>
          <w:ilvl w:val="0"/>
          <w:numId w:val="4"/>
        </w:numPr>
      </w:pPr>
      <w:r>
        <w:t xml:space="preserve">I have read and understood the Email and Workplace Privacy Policy</w:t>
      </w:r>
    </w:p>
    <w:p>
      <w:pPr>
        <w:pStyle w:val="ListParagraph"/>
        <w:numPr>
          <w:ilvl w:val="0"/>
          <w:numId w:val="4"/>
        </w:numPr>
      </w:pPr>
      <w:r>
        <w:t xml:space="preserve">I understand that Company email is Company property</w:t>
      </w:r>
    </w:p>
    <w:p>
      <w:pPr>
        <w:pStyle w:val="ListParagraph"/>
        <w:numPr>
          <w:ilvl w:val="0"/>
          <w:numId w:val="4"/>
        </w:numPr>
      </w:pPr>
      <w:r>
        <w:t xml:space="preserve">I understand the scope and limits of monitoring</w:t>
      </w:r>
    </w:p>
    <w:p>
      <w:pPr>
        <w:pStyle w:val="ListParagraph"/>
        <w:numPr>
          <w:ilvl w:val="0"/>
          <w:numId w:val="4"/>
        </w:numPr>
      </w:pPr>
      <w:r>
        <w:t xml:space="preserve">I am aware of my rights under DPDP Act</w:t>
      </w:r>
    </w:p>
    <w:p>
      <w:pPr>
        <w:pStyle w:val="ListParagraph"/>
        <w:numPr>
          <w:ilvl w:val="0"/>
          <w:numId w:val="4"/>
        </w:numPr>
        <w:spacing w:after="240"/>
      </w:pPr>
      <w:r>
        <w:t xml:space="preserve">I agree to comply with this Policy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single" w:color="000000" w:sz="1"/>
              <w:left w:val="single" w:color="CCCCCC" w:sz="1"/>
              <w:bottom w:val="single" w:color="CCCCCC" w:sz="1"/>
              <w:right w:val="single" w:color="CCCCCC" w:sz="1"/>
            </w:tcBorders>
            <w:tcMar>
              <w:top w:type="dxa" w:w="200"/>
              <w:left w:type="dxa" w:w="120"/>
              <w:bottom w:type="dxa" w:w="80"/>
              <w:right w:type="dxa" w:w="120"/>
            </w:tcMar>
          </w:tcPr>
          <w:p>
            <w:pPr>
              <w:spacing w:after="80"/>
            </w:pPr>
            <w:r>
              <w:t xml:space="preserve">______________________________</w:t>
            </w:r>
          </w:p>
          <w:p>
            <w:r>
              <w:t xml:space="preserve">Employee Signature</w:t>
            </w:r>
          </w:p>
        </w:tc>
        <w:tc>
          <w:tcPr>
            <w:tcW w:type="dxa" w:w="4680"/>
            <w:tcBorders>
              <w:top w:val="single" w:color="000000" w:sz="1"/>
              <w:left w:val="single" w:color="CCCCCC" w:sz="1"/>
              <w:bottom w:val="single" w:color="CCCCCC" w:sz="1"/>
              <w:right w:val="single" w:color="CCCCCC" w:sz="1"/>
            </w:tcBorders>
            <w:tcMar>
              <w:top w:type="dxa" w:w="200"/>
              <w:left w:type="dxa" w:w="120"/>
              <w:bottom w:type="dxa" w:w="80"/>
              <w:right w:type="dxa" w:w="120"/>
            </w:tcMar>
          </w:tcPr>
          <w:p>
            <w:pPr>
              <w:spacing w:after="80"/>
            </w:pPr>
            <w:r>
              <w:t xml:space="preserve">______________________________</w:t>
            </w:r>
          </w:p>
          <w:p>
            <w:r>
              <w:t xml:space="preserve">Date</w:t>
            </w:r>
          </w:p>
        </w:tc>
      </w:tr>
    </w:tbl>
    <w:p>
      <w:pPr>
        <w:spacing w:after="480"/>
      </w:pPr>
    </w:p>
    <w:p>
      <w:pPr>
        <w:spacing w:before="720"/>
        <w:jc w:val="center"/>
      </w:pPr>
      <w:r>
        <w:rPr>
          <w:color w:val="CCCCCC"/>
        </w:rPr>
        <w:t xml:space="preserve">---</w:t>
      </w:r>
    </w:p>
    <w:p>
      <w:pPr>
        <w:spacing w:after="120"/>
        <w:jc w:val="center"/>
      </w:pPr>
      <w:r>
        <w:rPr>
          <w:i/>
          <w:iCs/>
          <w:color w:val="666666"/>
          <w:sz w:val="18"/>
          <w:szCs w:val="18"/>
        </w:rPr>
        <w:t xml:space="preserve">This template provided by CRGCL | For informational purposes only | Consult legal counsel before implementation</w:t>
      </w:r>
    </w:p>
    <w:p>
      <w:pPr>
        <w:jc w:val="center"/>
      </w:pPr>
      <w:r>
        <w:rPr>
          <w:color w:val="666666"/>
          <w:sz w:val="18"/>
          <w:szCs w:val="18"/>
        </w:rPr>
        <w:t xml:space="preserve">© 2026 CRGCL. May be used with attribution.</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abstractNum w:abstractNumId="4"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 w:numId="4">
    <w:abstractNumId w:val="4"/>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240" w:after="120"/>
      <w:outlineLvl w:val="0"/>
    </w:pPr>
    <w:rPr>
      <w:rFonts w:ascii="Arial" w:cs="Arial" w:eastAsia="Arial" w:hAnsi="Arial"/>
      <w:b/>
      <w:bCs/>
      <w:color w:val="1F4E78"/>
      <w:sz w:val="32"/>
      <w:szCs w:val="32"/>
    </w:rPr>
  </w:style>
  <w:style w:type="paragraph" w:styleId="Heading2">
    <w:name w:val="Heading 2"/>
    <w:basedOn w:val="Normal"/>
    <w:next w:val="Normal"/>
    <w:qFormat/>
    <w:pPr>
      <w:spacing w:before="180" w:after="120"/>
      <w:outlineLvl w:val="1"/>
    </w:pPr>
    <w:rPr>
      <w:rFonts w:ascii="Arial" w:cs="Arial" w:eastAsia="Arial" w:hAnsi="Arial"/>
      <w:b/>
      <w:bCs/>
      <w:color w:val="2E75B6"/>
      <w:sz w:val="28"/>
      <w:szCs w:val="28"/>
    </w:rPr>
  </w:style>
  <w:style w:type="paragraph" w:styleId="Heading3">
    <w:name w:val="Heading 3"/>
    <w:basedOn w:val="Normal"/>
    <w:next w:val="Normal"/>
    <w:qFormat/>
    <w:pPr>
      <w:spacing w:before="120" w:after="80"/>
      <w:outlineLvl w:val="2"/>
    </w:pPr>
    <w:rPr>
      <w:rFonts w:ascii="Arial" w:cs="Arial" w:eastAsia="Arial" w:hAnsi="Arial"/>
      <w:b/>
      <w:bCs/>
      <w:color w:val="2E75B6"/>
      <w:sz w:val="24"/>
      <w:szCs w:val="24"/>
    </w:rPr>
  </w:style>
  <w:style w:type="paragraph" w:styleId="SectionTitle">
    <w:name w:val="Section Title"/>
    <w:basedOn w:val="Normal"/>
    <w:pPr>
      <w:spacing w:before="120" w:after="80"/>
    </w:pPr>
    <w:rPr>
      <w:rFonts w:ascii="Arial" w:cs="Arial" w:eastAsia="Arial" w:hAnsi="Arial"/>
      <w:b/>
      <w:bCs/>
      <w:sz w:val="22"/>
      <w:szCs w:val="22"/>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2026-02-21T12:54:19.546Z</dcterms:created>
  <dcterms:modified xsi:type="dcterms:W3CDTF">2026-02-21T12:54:19.547Z</dcterms:modified>
</cp:coreProperties>
</file>

<file path=docProps/custom.xml><?xml version="1.0" encoding="utf-8"?>
<Properties xmlns="http://schemas.openxmlformats.org/officeDocument/2006/custom-properties" xmlns:vt="http://schemas.openxmlformats.org/officeDocument/2006/docPropsVTypes"/>
</file>